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bCs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bCs w:val="1"/>
          <w:color w:val="000000"/>
          <w:sz w:val="36"/>
          <w:szCs w:val="36"/>
        </w:rPr>
      </w:pPr>
      <w:r w:rsidDel="00000000" w:rsidR="00000000" w:rsidRPr="00000000">
        <w:rPr>
          <w:b w:val="1"/>
          <w:bCs w:val="1"/>
          <w:color w:val="000000"/>
          <w:sz w:val="36"/>
          <w:szCs w:val="36"/>
          <w:rtl w:val="0"/>
        </w:rPr>
        <w:t xml:space="preserve">Call-Off Schedule 12 (Clustering)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When you should use this Schedule</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b w:val="1"/>
          <w:bCs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b w:val="1"/>
          <w:bCs w:val="1"/>
          <w:sz w:val="24"/>
          <w:szCs w:val="24"/>
          <w:rtl w:val="0"/>
        </w:rPr>
        <w:t xml:space="preserve">“Buyer”</w:t>
      </w:r>
      <w:r w:rsidDel="00000000" w:rsidR="00000000" w:rsidRPr="00000000">
        <w:rPr>
          <w:sz w:val="24"/>
          <w:szCs w:val="24"/>
          <w:rtl w:val="0"/>
        </w:rPr>
        <w:t xml:space="preserve"> for the purposes of this schedule, may also mean the specific contracting entity formed on behalf of the cluster.</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of the Cluster Members.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Parties to a Call-Off Contract (being the Buyer and Supplier and not including a Cluster Member) may in accordance with its provisions vary, terminate or rescind that Call-Off Contract or any part of it, without the consent of any Cluster Member.</w:t>
      </w:r>
    </w:p>
    <w:p w:rsidR="00000000" w:rsidDel="00000000" w:rsidP="00000000" w:rsidRDefault="00000000" w:rsidRPr="00000000" w14:paraId="0000000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enforcement rights granted to Cluster Members under Paragraph </w:t>
      </w:r>
      <w:r w:rsidDel="00000000" w:rsidR="00000000" w:rsidRPr="00000000">
        <w:rPr>
          <w:sz w:val="24"/>
          <w:szCs w:val="24"/>
          <w:rtl w:val="0"/>
        </w:rPr>
        <w:t xml:space="preserve">3.4</w:t>
      </w:r>
      <w:r w:rsidDel="00000000" w:rsidR="00000000" w:rsidRPr="00000000">
        <w:rPr>
          <w:color w:val="000000"/>
          <w:sz w:val="24"/>
          <w:szCs w:val="24"/>
          <w:rtl w:val="0"/>
        </w:rPr>
        <w:t xml:space="preserve"> are subject to the following provisions: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firstLine="0"/>
        <w:jc w:val="left"/>
        <w:rPr>
          <w:sz w:val="24"/>
          <w:szCs w:val="24"/>
        </w:rPr>
      </w:pP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B">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0" w:firstLine="0"/>
        <w:jc w:val="left"/>
        <w:rPr>
          <w:b w:val="1"/>
          <w:bCs w:val="1"/>
          <w:color w:val="000000"/>
          <w:sz w:val="36"/>
          <w:szCs w:val="36"/>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0" w:firstLine="0"/>
        <w:jc w:val="left"/>
        <w:rPr>
          <w:b w:val="1"/>
          <w:bCs w:val="1"/>
          <w:color w:val="000000"/>
          <w:sz w:val="36"/>
          <w:szCs w:val="36"/>
        </w:rPr>
      </w:pPr>
      <w:r w:rsidDel="00000000" w:rsidR="00000000" w:rsidRPr="00000000">
        <w:rPr>
          <w:b w:val="1"/>
          <w:bCs w:val="1"/>
          <w:color w:val="000000"/>
          <w:sz w:val="36"/>
          <w:szCs w:val="36"/>
          <w:rtl w:val="0"/>
        </w:rPr>
        <w:t xml:space="preserve">Annex A – Cluster Members</w:t>
      </w:r>
    </w:p>
    <w:p w:rsidR="00000000" w:rsidDel="00000000" w:rsidP="00000000" w:rsidRDefault="00000000" w:rsidRPr="00000000" w14:paraId="0000001E">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F">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Name of Cluster Member</w:t>
            </w:r>
          </w:p>
        </w:tc>
        <w:tc>
          <w:tcPr/>
          <w:p w:rsidR="00000000" w:rsidDel="00000000" w:rsidP="00000000" w:rsidRDefault="00000000" w:rsidRPr="00000000" w14:paraId="00000020">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Services to be provided</w:t>
            </w:r>
          </w:p>
        </w:tc>
        <w:tc>
          <w:tcPr/>
          <w:p w:rsidR="00000000" w:rsidDel="00000000" w:rsidP="00000000" w:rsidRDefault="00000000" w:rsidRPr="00000000" w14:paraId="00000021">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Duration</w:t>
            </w:r>
          </w:p>
        </w:tc>
        <w:tc>
          <w:tcPr/>
          <w:p w:rsidR="00000000" w:rsidDel="00000000" w:rsidP="00000000" w:rsidRDefault="00000000" w:rsidRPr="00000000" w14:paraId="00000022">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Terms</w:t>
            </w:r>
          </w:p>
        </w:tc>
      </w:tr>
      <w:tr>
        <w:trPr>
          <w:cantSplit w:val="0"/>
          <w:tblHeader w:val="0"/>
        </w:trPr>
        <w:tc>
          <w:tcPr/>
          <w:p w:rsidR="00000000" w:rsidDel="00000000" w:rsidP="00000000" w:rsidRDefault="00000000" w:rsidRPr="00000000" w14:paraId="00000023">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r>
      <w:tr>
        <w:trPr>
          <w:cantSplit w:val="0"/>
          <w:tblHeader w:val="0"/>
        </w:trPr>
        <w:tc>
          <w:tcPr/>
          <w:p w:rsidR="00000000" w:rsidDel="00000000" w:rsidP="00000000" w:rsidRDefault="00000000" w:rsidRPr="00000000" w14:paraId="00000027">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r>
      <w:tr>
        <w:trPr>
          <w:cantSplit w:val="0"/>
          <w:tblHeader w:val="0"/>
        </w:trPr>
        <w:tc>
          <w:tcPr/>
          <w:p w:rsidR="00000000" w:rsidDel="00000000" w:rsidP="00000000" w:rsidRDefault="00000000" w:rsidRPr="00000000" w14:paraId="0000002B">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r>
      <w:tr>
        <w:trPr>
          <w:cantSplit w:val="0"/>
          <w:tblHeader w:val="0"/>
        </w:trPr>
        <w:tc>
          <w:tcPr/>
          <w:p w:rsidR="00000000" w:rsidDel="00000000" w:rsidP="00000000" w:rsidRDefault="00000000" w:rsidRPr="00000000" w14:paraId="0000002F">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31">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32">
            <w:pPr>
              <w:keepNext w:val="1"/>
              <w:keepLines w:val="1"/>
              <w:spacing w:before="200" w:line="276" w:lineRule="auto"/>
              <w:ind w:firstLine="1418"/>
              <w:jc w:val="left"/>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33">
      <w:pPr>
        <w:pBdr>
          <w:top w:space="0" w:sz="0" w:val="nil"/>
          <w:left w:space="0" w:sz="0" w:val="nil"/>
          <w:bottom w:space="0" w:sz="0" w:val="nil"/>
          <w:right w:space="0" w:sz="0" w:val="nil"/>
          <w:between w:space="0" w:sz="0" w:val="nil"/>
        </w:pBdr>
        <w:ind w:left="0" w:firstLine="0"/>
        <w:jc w:val="left"/>
        <w:rPr>
          <w:rFonts w:ascii="Calibri" w:cs="Calibri" w:eastAsia="Calibri" w:hAnsi="Calibri"/>
          <w:b w:val="1"/>
          <w:bCs w:val="1"/>
          <w:color w:val="000000"/>
          <w:sz w:val="24"/>
          <w:szCs w:val="24"/>
          <w:u w:val="single"/>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0" w:firstLine="0"/>
        <w:jc w:val="left"/>
        <w:rPr>
          <w:rFonts w:ascii="Calibri" w:cs="Calibri" w:eastAsia="Calibri" w:hAnsi="Calibri"/>
          <w:b w:val="1"/>
          <w:bCs w:val="1"/>
          <w:color w:val="000000"/>
          <w:sz w:val="24"/>
          <w:szCs w:val="24"/>
          <w:u w:val="singl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RM6257</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ind w:left="0" w:firstLine="0"/>
      <w:jc w:val="left"/>
      <w:rPr>
        <w:sz w:val="20"/>
        <w:szCs w:val="20"/>
      </w:rPr>
    </w:pPr>
    <w:r w:rsidDel="00000000" w:rsidR="00000000" w:rsidRPr="00000000">
      <w:rPr>
        <w:b w:val="1"/>
        <w:bCs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6">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7">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8">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iCs w:val="0"/>
        <w:smallCaps w:val="0"/>
        <w:strike w:val="0"/>
        <w:color w:val="000000"/>
        <w:u w:val="none"/>
        <w:vertAlign w:val="baseline"/>
      </w:rPr>
    </w:lvl>
    <w:lvl w:ilvl="2">
      <w:start w:val="1"/>
      <w:numFmt w:val="decimal"/>
      <w:lvlText w:val="%1.%2.%3"/>
      <w:lvlJc w:val="left"/>
      <w:pPr>
        <w:ind w:left="1440" w:hanging="720"/>
      </w:pPr>
      <w:rPr>
        <w:i w:val="0"/>
        <w:iCs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Heading7">
    <w:name w:val="heading 7"/>
    <w:basedOn w:val="Normal"/>
    <w:link w:val="Heading7Char"/>
    <w:qFormat w:val="1"/>
    <w:rsid w:val="00DB35DC"/>
    <w:pPr>
      <w:numPr>
        <w:ilvl w:val="6"/>
        <w:numId w:val="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rsid w:val="00DB35DC"/>
    <w:pPr>
      <w:numPr>
        <w:ilvl w:val="7"/>
        <w:numId w:val="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rsid w:val="00DB35DC"/>
    <w:pPr>
      <w:numPr>
        <w:ilvl w:val="8"/>
        <w:numId w:val="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DB35DC"/>
    <w:pPr>
      <w:numPr>
        <w:numId w:val="1"/>
      </w:numPr>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rsid w:val="00DB35DC"/>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tabs>
        <w:tab w:val="left" w:pos="-9"/>
        <w:tab w:val="num" w:pos="720"/>
      </w:tabs>
      <w:spacing w:after="120"/>
      <w:ind w:left="720" w:hanging="720"/>
    </w:pPr>
  </w:style>
  <w:style w:type="paragraph" w:styleId="GPSDefinitionL2" w:customStyle="1">
    <w:name w:val="GPS Definition L2"/>
    <w:basedOn w:val="GPsDefinition"/>
    <w:qFormat w:val="1"/>
    <w:rsid w:val="00DB35DC"/>
    <w:pPr>
      <w:numPr>
        <w:ilvl w:val="1"/>
      </w:numPr>
      <w:tabs>
        <w:tab w:val="clear" w:pos="-9"/>
        <w:tab w:val="left" w:pos="144"/>
        <w:tab w:val="num" w:pos="720"/>
      </w:tabs>
      <w:ind w:left="720" w:hanging="545"/>
    </w:pPr>
  </w:style>
  <w:style w:type="paragraph" w:styleId="GPSDefinitionL3" w:customStyle="1">
    <w:name w:val="GPS Definition L3"/>
    <w:basedOn w:val="GPSDefinitionL2"/>
    <w:qFormat w:val="1"/>
    <w:rsid w:val="00DB35DC"/>
    <w:pPr>
      <w:numPr>
        <w:ilvl w:val="2"/>
      </w:numPr>
      <w:tabs>
        <w:tab w:val="num" w:pos="720"/>
      </w:tabs>
      <w:ind w:left="720" w:hanging="545"/>
    </w:pPr>
  </w:style>
  <w:style w:type="paragraph" w:styleId="GPSDefinitionL4" w:customStyle="1">
    <w:name w:val="GPS Definition L4"/>
    <w:basedOn w:val="GPSDefinitionL3"/>
    <w:qFormat w:val="1"/>
    <w:rsid w:val="00DB35DC"/>
    <w:pPr>
      <w:numPr>
        <w:ilvl w:val="3"/>
      </w:numPr>
      <w:tabs>
        <w:tab w:val="num" w:pos="720"/>
      </w:tabs>
      <w:ind w:left="720" w:hanging="545"/>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DB35D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Times New Roman" w:cs="Times New Roman" w:eastAsia="STZhongsong" w:hAnsi="Times New Roman"/>
      <w:szCs w:val="20"/>
      <w:lang w:eastAsia="zh-CN"/>
    </w:rPr>
  </w:style>
  <w:style w:type="character" w:styleId="Heading2Char" w:customStyle="1">
    <w:name w:val="Heading 2 Char"/>
    <w:basedOn w:val="DefaultParagraphFont"/>
    <w:link w:val="Heading2"/>
    <w:uiPriority w:val="9"/>
    <w:semiHidden w:val="1"/>
    <w:rPr>
      <w:rFonts w:ascii="Times New Roman" w:cs="Times New Roman" w:eastAsia="STZhongsong" w:hAnsi="Times New Roman"/>
      <w:szCs w:val="20"/>
      <w:lang w:eastAsia="zh-CN"/>
    </w:rPr>
  </w:style>
  <w:style w:type="character" w:styleId="Heading3Char" w:customStyle="1">
    <w:name w:val="Heading 3 Char"/>
    <w:basedOn w:val="DefaultParagraphFont"/>
    <w:link w:val="Heading3"/>
    <w:uiPriority w:val="9"/>
    <w:semiHidden w:val="1"/>
    <w:rPr>
      <w:rFonts w:ascii="Times New Roman" w:cs="Times New Roman" w:eastAsia="STZhongsong" w:hAnsi="Times New Roman"/>
      <w:szCs w:val="20"/>
      <w:lang w:eastAsia="zh-CN"/>
    </w:rPr>
  </w:style>
  <w:style w:type="character" w:styleId="Heading4Char" w:customStyle="1">
    <w:name w:val="Heading 4 Char"/>
    <w:basedOn w:val="DefaultParagraphFont"/>
    <w:link w:val="Heading4"/>
    <w:uiPriority w:val="9"/>
    <w:semiHidden w:val="1"/>
    <w:rPr>
      <w:rFonts w:ascii="Times New Roman" w:cs="Times New Roman" w:eastAsia="STZhongsong" w:hAnsi="Times New Roman"/>
      <w:szCs w:val="20"/>
      <w:lang w:eastAsia="zh-CN"/>
    </w:rPr>
  </w:style>
  <w:style w:type="character" w:styleId="Heading5Char" w:customStyle="1">
    <w:name w:val="Heading 5 Char"/>
    <w:basedOn w:val="DefaultParagraphFont"/>
    <w:link w:val="Heading5"/>
    <w:uiPriority w:val="9"/>
    <w:semiHidden w:val="1"/>
    <w:rPr>
      <w:rFonts w:ascii="Times New Roman" w:cs="Times New Roman" w:eastAsia="STZhongsong" w:hAnsi="Times New Roman"/>
      <w:szCs w:val="20"/>
      <w:lang w:eastAsia="zh-CN"/>
    </w:rPr>
  </w:style>
  <w:style w:type="character" w:styleId="Heading6Char" w:customStyle="1">
    <w:name w:val="Heading 6 Char"/>
    <w:basedOn w:val="DefaultParagraphFont"/>
    <w:link w:val="Heading6"/>
    <w:uiPriority w:val="9"/>
    <w:semiHidden w:val="1"/>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a" w:customStyle="1">
    <w:basedOn w:val="TableNormal"/>
    <w:pPr>
      <w:spacing w:after="0"/>
    </w:pPr>
    <w:rPr>
      <w:rFonts w:ascii="Calibri" w:cs="Calibri" w:eastAsia="Calibri" w:hAnsi="Calibri"/>
      <w:sz w:val="20"/>
      <w:szCs w:val="20"/>
    </w:rPr>
    <w:tblPr>
      <w:tblStyleRowBandSize w:val="1"/>
      <w:tblStyleColBandSize w:val="1"/>
    </w:tblPr>
  </w:style>
  <w:style w:type="table" w:styleId="a0" w:customStyle="1">
    <w:basedOn w:val="TableNormal"/>
    <w:pPr>
      <w:spacing w:after="0"/>
    </w:pPr>
    <w:rPr>
      <w:rFonts w:ascii="Calibri" w:cs="Calibri" w:eastAsia="Calibri" w:hAnsi="Calibri"/>
      <w:sz w:val="20"/>
      <w:szCs w:val="20"/>
    </w:rPr>
    <w:tblPr>
      <w:tblStyleRowBandSize w:val="1"/>
      <w:tblStyleColBandSize w:val="1"/>
    </w:tblPr>
  </w:style>
  <w:style w:type="table" w:styleId="a1" w:customStyle="1">
    <w:basedOn w:val="TableNormal"/>
    <w:pPr>
      <w:spacing w:after="0"/>
    </w:pPr>
    <w:rPr>
      <w:rFonts w:ascii="Calibri" w:cs="Calibri" w:eastAsia="Calibri" w:hAnsi="Calibri"/>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GfFQ1emKRpu3rS4JXXS3mMYoQw==">CgMxLjAyCGguZ2pkZ3hzMgloLjMwajB6bGwyCWguMWZvYjl0ZTIJaC4zem55c2g3MgloLjJldDkycDA4AHIhMUd0MkV0ckZOazFDNl9SbHRzckNxRG9DWGlJVWl4aDFJ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2022-04-07T14:43:00Z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